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C2C998" w14:textId="43450F50" w:rsidR="007432B3" w:rsidRPr="00B13D24" w:rsidRDefault="007432B3" w:rsidP="007432B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  <w:r w:rsidRPr="00B13D24"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>S.26.02.</w:t>
      </w:r>
      <w:r w:rsidR="00085291" w:rsidRPr="00B13D24"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 xml:space="preserve"> -</w:t>
      </w:r>
      <w:r w:rsidRPr="00B13D24"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 xml:space="preserve"> Solvency Capital Requirement – Counterparty default risk </w:t>
      </w:r>
    </w:p>
    <w:p w14:paraId="42BCB51E" w14:textId="77777777" w:rsidR="007432B3" w:rsidRPr="00B13D24" w:rsidRDefault="007432B3" w:rsidP="007432B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</w:p>
    <w:p w14:paraId="5C7D2520" w14:textId="77777777" w:rsidR="007432B3" w:rsidRPr="00B13D24" w:rsidRDefault="007432B3" w:rsidP="007432B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  <w:r w:rsidRPr="00B13D24"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 xml:space="preserve">General comments </w:t>
      </w:r>
    </w:p>
    <w:p w14:paraId="480625AD" w14:textId="77777777" w:rsidR="007432B3" w:rsidRPr="00B13D24" w:rsidRDefault="007432B3" w:rsidP="007432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</w:pPr>
    </w:p>
    <w:p w14:paraId="2EE02AA7" w14:textId="77777777" w:rsidR="007432B3" w:rsidRPr="00B13D24" w:rsidRDefault="007432B3" w:rsidP="007432B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GB"/>
        </w:rPr>
      </w:pPr>
      <w:r w:rsidRPr="00B13D24">
        <w:rPr>
          <w:rFonts w:ascii="Times New Roman" w:hAnsi="Times New Roman" w:cs="Times New Roman"/>
          <w:sz w:val="20"/>
          <w:szCs w:val="20"/>
          <w:lang w:val="en-GB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14:paraId="47219CC3" w14:textId="77777777" w:rsidR="007432B3" w:rsidRPr="00B13D24" w:rsidRDefault="007432B3" w:rsidP="007432B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GB"/>
        </w:rPr>
      </w:pPr>
    </w:p>
    <w:p w14:paraId="730993F4" w14:textId="78C35D83" w:rsidR="00085291" w:rsidRPr="00B13D24" w:rsidRDefault="00085291" w:rsidP="00085291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B13D24">
        <w:rPr>
          <w:rFonts w:ascii="Times New Roman" w:hAnsi="Times New Roman" w:cs="Times New Roman"/>
          <w:sz w:val="20"/>
          <w:szCs w:val="20"/>
          <w:lang w:val="en-GB"/>
        </w:rPr>
        <w:t xml:space="preserve">This annex relates to annual submission of information for individual entities, ring fenced-funds, matching </w:t>
      </w:r>
      <w:r w:rsidR="00C9258E" w:rsidRPr="00B13D24">
        <w:rPr>
          <w:rFonts w:ascii="Times New Roman" w:hAnsi="Times New Roman" w:cs="Times New Roman"/>
          <w:sz w:val="20"/>
          <w:szCs w:val="20"/>
          <w:lang w:val="en-GB"/>
        </w:rPr>
        <w:t xml:space="preserve">adjustment </w:t>
      </w:r>
      <w:r w:rsidRPr="00B13D24">
        <w:rPr>
          <w:rFonts w:ascii="Times New Roman" w:hAnsi="Times New Roman" w:cs="Times New Roman"/>
          <w:sz w:val="20"/>
          <w:szCs w:val="20"/>
          <w:lang w:val="en-GB"/>
        </w:rPr>
        <w:t>portfolios and remaining part.</w:t>
      </w:r>
    </w:p>
    <w:p w14:paraId="22E2E1F8" w14:textId="2D297CF1" w:rsidR="00085291" w:rsidRPr="00B13D24" w:rsidRDefault="00085291" w:rsidP="00085291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B13D24">
        <w:rPr>
          <w:rFonts w:ascii="Times New Roman" w:hAnsi="Times New Roman" w:cs="Times New Roman"/>
          <w:sz w:val="20"/>
          <w:szCs w:val="20"/>
          <w:lang w:val="en-GB"/>
        </w:rPr>
        <w:t>The variant S.2</w:t>
      </w:r>
      <w:r w:rsidR="008F6A7C" w:rsidRPr="00B13D24">
        <w:rPr>
          <w:rFonts w:ascii="Times New Roman" w:hAnsi="Times New Roman" w:cs="Times New Roman"/>
          <w:sz w:val="20"/>
          <w:szCs w:val="20"/>
          <w:lang w:val="en-GB"/>
        </w:rPr>
        <w:t>6</w:t>
      </w:r>
      <w:r w:rsidRPr="00B13D24">
        <w:rPr>
          <w:rFonts w:ascii="Times New Roman" w:hAnsi="Times New Roman" w:cs="Times New Roman"/>
          <w:sz w:val="20"/>
          <w:szCs w:val="20"/>
          <w:lang w:val="en-GB"/>
        </w:rPr>
        <w:t>.0</w:t>
      </w:r>
      <w:r w:rsidR="008F6A7C" w:rsidRPr="00B13D24">
        <w:rPr>
          <w:rFonts w:ascii="Times New Roman" w:hAnsi="Times New Roman" w:cs="Times New Roman"/>
          <w:sz w:val="20"/>
          <w:szCs w:val="20"/>
          <w:lang w:val="en-GB"/>
        </w:rPr>
        <w:t>2</w:t>
      </w:r>
      <w:r w:rsidRPr="00B13D24">
        <w:rPr>
          <w:rFonts w:ascii="Times New Roman" w:hAnsi="Times New Roman" w:cs="Times New Roman"/>
          <w:sz w:val="20"/>
          <w:szCs w:val="20"/>
          <w:lang w:val="en-GB"/>
        </w:rPr>
        <w:t>.l has to be filled in for each ring-fenced fund (RFF), each matching adjustment portfolio (MAP) and for the remaining part. However, where a RFF/MAP includes a MAP/RRF embedded, the fund should be treated as different funds. This template should be reported for all sub-funds of a material RFF/MAP as identified in the second table of S.01.03.</w:t>
      </w:r>
    </w:p>
    <w:tbl>
      <w:tblPr>
        <w:tblW w:w="8632" w:type="dxa"/>
        <w:tblInd w:w="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2"/>
        <w:gridCol w:w="2351"/>
        <w:gridCol w:w="4739"/>
      </w:tblGrid>
      <w:tr w:rsidR="0039634C" w:rsidRPr="00B13D24" w:rsidDel="007060B1" w14:paraId="2AF7D8A7" w14:textId="77777777" w:rsidTr="00B13D24">
        <w:trPr>
          <w:trHeight w:val="318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110E6" w14:textId="77777777" w:rsidR="0039634C" w:rsidRPr="00B13D24" w:rsidDel="0040427E" w:rsidRDefault="0039634C" w:rsidP="00B13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1F3D7" w14:textId="73E95E87" w:rsidR="0039634C" w:rsidRPr="00B13D24" w:rsidDel="007060B1" w:rsidRDefault="0039634C" w:rsidP="00B13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ITEM</w:t>
            </w:r>
          </w:p>
        </w:tc>
        <w:tc>
          <w:tcPr>
            <w:tcW w:w="4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43FFF" w14:textId="022D1BA7" w:rsidR="0039634C" w:rsidRPr="00B13D24" w:rsidDel="007060B1" w:rsidRDefault="0039634C" w:rsidP="00B13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INSTRUCTIONS</w:t>
            </w:r>
          </w:p>
        </w:tc>
      </w:tr>
      <w:tr w:rsidR="000C18F7" w:rsidRPr="00B13D24" w14:paraId="46AB41CA" w14:textId="77777777" w:rsidTr="00B13D24">
        <w:trPr>
          <w:trHeight w:val="1534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2FD8AA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Z0010</w:t>
            </w:r>
          </w:p>
          <w:p w14:paraId="09330CA0" w14:textId="3B97F868" w:rsidR="00085291" w:rsidRPr="00B13D24" w:rsidDel="0040427E" w:rsidRDefault="00085291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(A001)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780E66" w14:textId="0A3BE3F9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Article 112</w:t>
            </w:r>
          </w:p>
        </w:tc>
        <w:tc>
          <w:tcPr>
            <w:tcW w:w="4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ACDD55" w14:textId="031F8EE2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Identifies whether the reported figures have been requested under Article 112(7), to provide an estimate of the SCR using standard formula.</w:t>
            </w:r>
            <w:r w:rsidR="00085291"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One of the options in the following closed list shall be used:</w:t>
            </w:r>
          </w:p>
          <w:p w14:paraId="4A8B70AE" w14:textId="77777777" w:rsidR="00085291" w:rsidRPr="00B13D24" w:rsidRDefault="00085291" w:rsidP="0008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 – Article 112(7) reporting</w:t>
            </w:r>
          </w:p>
          <w:p w14:paraId="46CD2257" w14:textId="03AAACA0" w:rsidR="000C18F7" w:rsidRPr="00B13D24" w:rsidRDefault="00085291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 – Regular reporting</w:t>
            </w:r>
          </w:p>
        </w:tc>
      </w:tr>
      <w:tr w:rsidR="00085291" w:rsidRPr="00B13D24" w14:paraId="30120BA4" w14:textId="77777777" w:rsidTr="00B13D24">
        <w:trPr>
          <w:trHeight w:val="1292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1FF8C1" w14:textId="77777777" w:rsidR="00085291" w:rsidRPr="00B13D24" w:rsidRDefault="00085291" w:rsidP="004C5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Z0020</w:t>
            </w:r>
          </w:p>
          <w:p w14:paraId="67C15905" w14:textId="2EBC9ABB" w:rsidR="00085291" w:rsidRPr="00B13D24" w:rsidRDefault="00085291" w:rsidP="004C5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(A30)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81097A" w14:textId="12FE55E1" w:rsidR="00085291" w:rsidRPr="00B13D24" w:rsidRDefault="00085291" w:rsidP="004C5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Ring Fenced Fund/Matching adjustment portfolios/Remaining part </w:t>
            </w:r>
          </w:p>
        </w:tc>
        <w:tc>
          <w:tcPr>
            <w:tcW w:w="4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558668" w14:textId="647706D3" w:rsidR="00085291" w:rsidRPr="00B13D24" w:rsidRDefault="00085291" w:rsidP="004C5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Identifies whether the reported figures are with regard to a RFF, matching </w:t>
            </w:r>
            <w:r w:rsidR="00C9258E"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</w:t>
            </w: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portfolio or to the remaining part. One of the options in the following closed list shall be used:</w:t>
            </w: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</w:r>
            <w:r w:rsidR="00C9258E"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 – RFF/MAP</w:t>
            </w:r>
            <w:r w:rsidR="00C9258E" w:rsidRPr="00B13D24" w:rsidDel="00C11F0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C9258E"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  <w:t>2 – Remaining part</w:t>
            </w:r>
          </w:p>
        </w:tc>
      </w:tr>
      <w:tr w:rsidR="00532257" w:rsidRPr="00B13D24" w14:paraId="7F009D65" w14:textId="77777777" w:rsidTr="00B13D24">
        <w:trPr>
          <w:trHeight w:val="1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88B155" w14:textId="77777777" w:rsidR="00085291" w:rsidRPr="00B13D24" w:rsidRDefault="00085291" w:rsidP="004C5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Z0030</w:t>
            </w:r>
          </w:p>
          <w:p w14:paraId="4573EC94" w14:textId="3ADA5CAC" w:rsidR="00085291" w:rsidRPr="00B13D24" w:rsidRDefault="00085291" w:rsidP="004C5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(A0)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47BC31" w14:textId="124EB769" w:rsidR="00085291" w:rsidRPr="00B13D24" w:rsidRDefault="00085291" w:rsidP="004C5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Fund/Portfolio number</w:t>
            </w:r>
          </w:p>
        </w:tc>
        <w:tc>
          <w:tcPr>
            <w:tcW w:w="4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1BC83B" w14:textId="5043AD28" w:rsidR="00085291" w:rsidRPr="00B13D24" w:rsidRDefault="00085291" w:rsidP="001C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Identification number for a ring fenced fund or matching </w:t>
            </w:r>
            <w:r w:rsidR="00C9258E"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</w:t>
            </w: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portfolio. This number is attributed by the undertaking and must be consistent over time and with the fund/portfolio number reported in other templates, e.g. S.26.02, S.14.01, </w:t>
            </w:r>
            <w:proofErr w:type="gramStart"/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S.23.01</w:t>
            </w:r>
            <w:proofErr w:type="gramEnd"/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. </w:t>
            </w:r>
          </w:p>
          <w:p w14:paraId="06DD4618" w14:textId="77777777" w:rsidR="00085291" w:rsidRPr="00B13D24" w:rsidRDefault="00085291" w:rsidP="001C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A0B4FC8" w14:textId="7D8714A6" w:rsidR="00085291" w:rsidRPr="00B13D24" w:rsidRDefault="00085291" w:rsidP="004C5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item is to be completed only when item Z0020 = 1 </w:t>
            </w:r>
          </w:p>
        </w:tc>
      </w:tr>
      <w:tr w:rsidR="00085291" w:rsidRPr="00B13D24" w14:paraId="027123B5" w14:textId="77777777" w:rsidTr="00B13D24">
        <w:trPr>
          <w:trHeight w:val="69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90535" w14:textId="7169701B" w:rsidR="00085291" w:rsidRPr="00B13D24" w:rsidRDefault="00085291" w:rsidP="00236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R0010/C0010</w:t>
            </w:r>
          </w:p>
          <w:p w14:paraId="751AF374" w14:textId="6C7105F9" w:rsidR="00085291" w:rsidRPr="00B13D24" w:rsidRDefault="00085291" w:rsidP="00236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</w:t>
            </w: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A00)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AA779" w14:textId="423013B9" w:rsidR="00085291" w:rsidRPr="00B13D24" w:rsidRDefault="00085291" w:rsidP="00E77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Simplifications </w:t>
            </w:r>
          </w:p>
        </w:tc>
        <w:tc>
          <w:tcPr>
            <w:tcW w:w="4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6C117" w14:textId="77777777" w:rsidR="00085291" w:rsidRPr="00B13D24" w:rsidRDefault="00085291" w:rsidP="0008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Identify whether an undertakings used </w:t>
            </w:r>
            <w:proofErr w:type="gramStart"/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simplifications  for</w:t>
            </w:r>
            <w:proofErr w:type="gramEnd"/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the calculation of counter party default risk. One of the options in the following closed list shall be used:</w:t>
            </w:r>
          </w:p>
          <w:p w14:paraId="2B15CD48" w14:textId="49717DF1" w:rsidR="00085291" w:rsidRPr="00B13D24" w:rsidRDefault="00085291" w:rsidP="0008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1 – Simplifications used </w:t>
            </w:r>
          </w:p>
          <w:p w14:paraId="1BF789E0" w14:textId="454DC12A" w:rsidR="00085291" w:rsidRPr="00B13D24" w:rsidRDefault="00085291" w:rsidP="00236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 – Simplifications not used</w:t>
            </w:r>
          </w:p>
        </w:tc>
      </w:tr>
      <w:tr w:rsidR="000C18F7" w:rsidRPr="00B13D24" w14:paraId="73CE8A49" w14:textId="77777777" w:rsidTr="00B13D24">
        <w:trPr>
          <w:trHeight w:val="660"/>
        </w:trPr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4B13C8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R0100/</w:t>
            </w:r>
          </w:p>
          <w:p w14:paraId="52C76C40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C0080</w:t>
            </w:r>
          </w:p>
          <w:p w14:paraId="5142DFA2" w14:textId="4790C13F" w:rsidR="00085291" w:rsidRPr="00B13D24" w:rsidRDefault="00085291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(C0)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8A2CFC" w14:textId="16180465" w:rsidR="000C18F7" w:rsidRPr="00B13D24" w:rsidRDefault="00532257" w:rsidP="00E77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Type 1 exposures – </w:t>
            </w:r>
            <w:r w:rsidR="000C18F7"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Gross solvency capital requirement 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EC7EF1" w14:textId="72A91F95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(before the loss-absorbency capacity of technical provisions) for counterparty default risk arising from all Type 1 exposures as defined for Solvency II purposes.</w:t>
            </w:r>
          </w:p>
        </w:tc>
      </w:tr>
      <w:tr w:rsidR="00E77A43" w:rsidRPr="00B13D24" w14:paraId="2E180FA3" w14:textId="77777777" w:rsidTr="00B13D24">
        <w:trPr>
          <w:trHeight w:val="869"/>
        </w:trPr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1CA8F8" w14:textId="228B1A3F" w:rsidR="00E77A43" w:rsidRPr="00B13D24" w:rsidRDefault="00E77A43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R0110-R0200/C0020</w:t>
            </w:r>
          </w:p>
          <w:p w14:paraId="16768BD6" w14:textId="4D7AA8CB" w:rsidR="00E77A43" w:rsidRPr="00B13D24" w:rsidDel="00085291" w:rsidRDefault="00E77A43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(A10)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DF3B73" w14:textId="1506E560" w:rsidR="00E77A43" w:rsidRPr="00B13D24" w:rsidRDefault="00E77A43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Name of single name exposure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F89925" w14:textId="60BF2A17" w:rsidR="00E77A43" w:rsidRPr="00B13D24" w:rsidRDefault="00E77A43" w:rsidP="00E77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Describe the name of the 10 largest single exposures.</w:t>
            </w:r>
          </w:p>
        </w:tc>
      </w:tr>
      <w:tr w:rsidR="00532257" w:rsidRPr="00B13D24" w14:paraId="6494E50D" w14:textId="77777777" w:rsidTr="00B13D24">
        <w:trPr>
          <w:trHeight w:val="1134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FFFAF5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R0110-R0200/</w:t>
            </w:r>
          </w:p>
          <w:p w14:paraId="75353D28" w14:textId="77777777" w:rsidR="00085291" w:rsidRPr="00B13D24" w:rsidRDefault="000C18F7" w:rsidP="0008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C0030</w:t>
            </w:r>
          </w:p>
          <w:p w14:paraId="724FA9E2" w14:textId="167823B1" w:rsidR="00085291" w:rsidRPr="00B13D24" w:rsidRDefault="00085291" w:rsidP="0008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(AA10)</w:t>
            </w:r>
          </w:p>
          <w:p w14:paraId="1D4B6445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267AE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Code of single name exposure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90DDAC" w14:textId="7B4CE06B" w:rsidR="000C18F7" w:rsidRPr="00B13D24" w:rsidRDefault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Identification code</w:t>
            </w:r>
            <w:r w:rsidR="004506FE"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using the </w:t>
            </w: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Legal Entity Identifier (LEI) if available</w:t>
            </w:r>
            <w:r w:rsidR="004506FE"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</w: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  <w:t xml:space="preserve">If </w:t>
            </w:r>
            <w:r w:rsidR="00085291"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not</w:t>
            </w: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available this item should not be reported</w:t>
            </w:r>
          </w:p>
        </w:tc>
      </w:tr>
      <w:tr w:rsidR="00532257" w:rsidRPr="00B13D24" w14:paraId="7071788B" w14:textId="77777777" w:rsidTr="00B13D24">
        <w:trPr>
          <w:trHeight w:val="416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417246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lastRenderedPageBreak/>
              <w:t>R0110-R0200/</w:t>
            </w:r>
          </w:p>
          <w:p w14:paraId="393C67C8" w14:textId="77777777" w:rsidR="00085291" w:rsidRPr="00B13D24" w:rsidRDefault="000C18F7" w:rsidP="0008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C0040</w:t>
            </w:r>
          </w:p>
          <w:p w14:paraId="49BED69F" w14:textId="5D662B36" w:rsidR="00085291" w:rsidRPr="00B13D24" w:rsidRDefault="00085291" w:rsidP="0008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(AB10)</w:t>
            </w:r>
          </w:p>
          <w:p w14:paraId="1AC9C6AB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D73C6D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of code of the single name exposure</w:t>
            </w:r>
          </w:p>
        </w:tc>
        <w:tc>
          <w:tcPr>
            <w:tcW w:w="4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1D9197" w14:textId="18C28661" w:rsidR="00085291" w:rsidRPr="00B13D24" w:rsidRDefault="000C18F7" w:rsidP="0008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 xml:space="preserve">Identification of the code used in </w:t>
            </w:r>
            <w:r w:rsidR="00085291" w:rsidRPr="00B13D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item “</w:t>
            </w:r>
            <w:r w:rsidR="00085291"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Code of single name exposure</w:t>
            </w:r>
            <w:r w:rsidR="00085291" w:rsidRPr="00B13D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 xml:space="preserve">”. </w:t>
            </w:r>
            <w:r w:rsidR="00085291"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One of the options in the following closed list shall be used:</w:t>
            </w:r>
          </w:p>
          <w:p w14:paraId="6136052D" w14:textId="0B3B0FBB" w:rsidR="000C18F7" w:rsidRPr="00B13D24" w:rsidRDefault="00085291" w:rsidP="00E77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 xml:space="preserve">1 </w:t>
            </w:r>
            <w:r w:rsidR="000C18F7" w:rsidRPr="00B13D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 xml:space="preserve">- LEI </w:t>
            </w:r>
            <w:r w:rsidR="000C18F7" w:rsidRPr="00B13D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br/>
            </w:r>
            <w:r w:rsidRPr="00B13D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 xml:space="preserve">9 </w:t>
            </w:r>
            <w:r w:rsidR="000C18F7" w:rsidRPr="00B13D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 xml:space="preserve">- </w:t>
            </w:r>
            <w:r w:rsidRPr="00B13D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None</w:t>
            </w:r>
          </w:p>
        </w:tc>
      </w:tr>
      <w:tr w:rsidR="000C18F7" w:rsidRPr="00B13D24" w14:paraId="488C04F7" w14:textId="77777777" w:rsidTr="00B13D24">
        <w:trPr>
          <w:trHeight w:val="285"/>
        </w:trPr>
        <w:tc>
          <w:tcPr>
            <w:tcW w:w="15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B5F3A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R0110-R0200/</w:t>
            </w:r>
          </w:p>
          <w:p w14:paraId="5A24915A" w14:textId="77777777" w:rsidR="00085291" w:rsidRPr="00B13D24" w:rsidRDefault="000C18F7" w:rsidP="0008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C0050</w:t>
            </w:r>
          </w:p>
          <w:p w14:paraId="3940E2FA" w14:textId="52F85368" w:rsidR="000C18F7" w:rsidRPr="00B13D24" w:rsidRDefault="00085291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(A1)</w:t>
            </w:r>
          </w:p>
        </w:tc>
        <w:tc>
          <w:tcPr>
            <w:tcW w:w="23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05F6C" w14:textId="56E6E97B" w:rsidR="000C18F7" w:rsidRPr="00B13D24" w:rsidRDefault="000C18F7" w:rsidP="00E77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1 exposures –  Single name exposure X – Loss Given Default</w:t>
            </w:r>
          </w:p>
        </w:tc>
        <w:tc>
          <w:tcPr>
            <w:tcW w:w="4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B697A77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value of the Loss Given Default for each of the 10 largest single name </w:t>
            </w:r>
            <w:proofErr w:type="gramStart"/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exposure</w:t>
            </w:r>
            <w:proofErr w:type="gramEnd"/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0C18F7" w:rsidRPr="00B13D24" w14:paraId="66477BC8" w14:textId="77777777" w:rsidTr="00B13D24">
        <w:trPr>
          <w:trHeight w:val="534"/>
        </w:trPr>
        <w:tc>
          <w:tcPr>
            <w:tcW w:w="15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75A90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A1031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4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5C0562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0C18F7" w:rsidRPr="00B13D24" w14:paraId="1E0DB217" w14:textId="77777777" w:rsidTr="00B13D24">
        <w:trPr>
          <w:trHeight w:val="285"/>
        </w:trPr>
        <w:tc>
          <w:tcPr>
            <w:tcW w:w="15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50DF1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R0110-R0200/</w:t>
            </w:r>
          </w:p>
          <w:p w14:paraId="102ED2BF" w14:textId="77777777" w:rsidR="00532257" w:rsidRPr="00B13D24" w:rsidRDefault="000C18F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C0060</w:t>
            </w:r>
          </w:p>
          <w:p w14:paraId="6569354E" w14:textId="1504FFF6" w:rsidR="00532257" w:rsidRPr="00B13D24" w:rsidRDefault="0053225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(B1)</w:t>
            </w:r>
          </w:p>
          <w:p w14:paraId="2704B20A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EFB27" w14:textId="0FED132B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1 exposures – Single name exposure X – Probability of Default</w:t>
            </w:r>
          </w:p>
        </w:tc>
        <w:tc>
          <w:tcPr>
            <w:tcW w:w="4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765F8FB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Probability of Default for each of the 10 largest si</w:t>
            </w:r>
            <w:bookmarkStart w:id="0" w:name="_GoBack"/>
            <w:bookmarkEnd w:id="0"/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ngle name </w:t>
            </w:r>
            <w:proofErr w:type="gramStart"/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exposure</w:t>
            </w:r>
            <w:proofErr w:type="gramEnd"/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0C18F7" w:rsidRPr="00B13D24" w14:paraId="3307857D" w14:textId="77777777" w:rsidTr="00B13D24">
        <w:trPr>
          <w:trHeight w:val="615"/>
        </w:trPr>
        <w:tc>
          <w:tcPr>
            <w:tcW w:w="15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5EE68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7BB49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4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E8BF81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0C18F7" w:rsidRPr="00B13D24" w14:paraId="0D388D95" w14:textId="77777777" w:rsidTr="00B13D24">
        <w:trPr>
          <w:trHeight w:val="230"/>
        </w:trPr>
        <w:tc>
          <w:tcPr>
            <w:tcW w:w="15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ED25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6B05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4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ECA311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0C18F7" w:rsidRPr="00B13D24" w14:paraId="3006CA08" w14:textId="77777777" w:rsidTr="00B13D24">
        <w:trPr>
          <w:trHeight w:val="1156"/>
        </w:trPr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6938B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</w:t>
            </w:r>
          </w:p>
          <w:p w14:paraId="3206CF6A" w14:textId="77777777" w:rsidR="00532257" w:rsidRPr="00B13D24" w:rsidRDefault="000C18F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C0080</w:t>
            </w:r>
          </w:p>
          <w:p w14:paraId="1F44EB62" w14:textId="4A4FF3EB" w:rsidR="00532257" w:rsidRPr="00B13D24" w:rsidRDefault="0053225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(C1)</w:t>
            </w:r>
          </w:p>
          <w:p w14:paraId="45D6E2E9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BCCF3" w14:textId="31FED344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Type 2 exposures – Gross solvency capital requirement 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27672" w14:textId="45B5D6A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(before the loss-absorbency capacity of  technical provisions) for counterparty default risk arising from all Type 2 exposures, as defined for Solvency II purposes</w:t>
            </w:r>
          </w:p>
        </w:tc>
      </w:tr>
      <w:tr w:rsidR="000C18F7" w:rsidRPr="00B13D24" w14:paraId="13D106D8" w14:textId="77777777" w:rsidTr="00B13D24">
        <w:trPr>
          <w:trHeight w:val="1272"/>
        </w:trPr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FE89C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R0310/</w:t>
            </w:r>
          </w:p>
          <w:p w14:paraId="2EDE7567" w14:textId="77777777" w:rsidR="00532257" w:rsidRPr="00B13D24" w:rsidRDefault="000C18F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C0050</w:t>
            </w:r>
          </w:p>
          <w:p w14:paraId="611CF48B" w14:textId="274AC264" w:rsidR="00532257" w:rsidRPr="00B13D24" w:rsidRDefault="0053225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(A2)</w:t>
            </w:r>
          </w:p>
          <w:p w14:paraId="416B8D27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2DAF9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2 exposures - Receivables from Intermediaries due for more than 3 months – Loss Given Default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75913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value of Loss Given Default for Type 2 counterparty risk arising from intermediaries due for more than 3 months.</w:t>
            </w:r>
          </w:p>
        </w:tc>
      </w:tr>
      <w:tr w:rsidR="000C18F7" w:rsidRPr="00B13D24" w14:paraId="1A4427F3" w14:textId="77777777" w:rsidTr="00B13D24">
        <w:trPr>
          <w:trHeight w:val="1545"/>
        </w:trPr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FF05F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R0320/</w:t>
            </w:r>
          </w:p>
          <w:p w14:paraId="0C770266" w14:textId="77777777" w:rsidR="00532257" w:rsidRPr="00B13D24" w:rsidRDefault="000C18F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C0050</w:t>
            </w:r>
          </w:p>
          <w:p w14:paraId="277346FC" w14:textId="4CA3B628" w:rsidR="00532257" w:rsidRPr="00B13D24" w:rsidRDefault="0053225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(A3)</w:t>
            </w:r>
          </w:p>
          <w:p w14:paraId="29550FE1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EFA63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2 exposures -  All type 2 exposures other than receivables from Intermediaries due for more than 3 months –  Loss Given Default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88506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value of Loss Given Default for Type 2 counterparty risk arising from all type 2 exposures other than receivables from Intermediaries due for more than 3 months. </w:t>
            </w:r>
          </w:p>
        </w:tc>
      </w:tr>
      <w:tr w:rsidR="000C18F7" w:rsidRPr="00B13D24" w14:paraId="05FD5EDC" w14:textId="77777777" w:rsidTr="00B13D24">
        <w:trPr>
          <w:trHeight w:val="1128"/>
        </w:trPr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C2D57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R0330/</w:t>
            </w:r>
          </w:p>
          <w:p w14:paraId="5C93B284" w14:textId="77777777" w:rsidR="00532257" w:rsidRPr="00B13D24" w:rsidRDefault="000C18F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C0080</w:t>
            </w:r>
          </w:p>
          <w:p w14:paraId="14E2D1B4" w14:textId="293460C6" w:rsidR="00532257" w:rsidRPr="00B13D24" w:rsidRDefault="0053225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(C3)</w:t>
            </w:r>
          </w:p>
          <w:p w14:paraId="3B2456BF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0A5B0" w14:textId="42FCCCF1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Diversification within counterparty default risk module – gross solvency capital requirement 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15C02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amount of gross diversification effects allowed in aggregation of capital requirements for counterparty default risk for Type 1 and Type 2 exposures. </w:t>
            </w:r>
          </w:p>
          <w:p w14:paraId="0B02D04A" w14:textId="6BED7090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0C18F7" w:rsidRPr="00B13D24" w14:paraId="35A7845E" w14:textId="77777777" w:rsidTr="00B13D24">
        <w:trPr>
          <w:trHeight w:val="847"/>
        </w:trPr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B3C8D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R0400/</w:t>
            </w:r>
          </w:p>
          <w:p w14:paraId="43595907" w14:textId="77777777" w:rsidR="00532257" w:rsidRPr="00B13D24" w:rsidRDefault="000C18F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C0070</w:t>
            </w:r>
          </w:p>
          <w:p w14:paraId="0D81B069" w14:textId="55B933D0" w:rsidR="00532257" w:rsidRPr="00B13D24" w:rsidRDefault="0053225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(D4)</w:t>
            </w:r>
          </w:p>
          <w:p w14:paraId="726EAB8F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891F3" w14:textId="44BE961D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Total net solvency capital requirement for counterparty default risk</w:t>
            </w:r>
            <w:r w:rsidRPr="00B13D24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059D56" w14:textId="177E3529" w:rsidR="00532257" w:rsidRPr="00B13D24" w:rsidRDefault="000C18F7" w:rsidP="00AD7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total amount of the net capital charge (after the loss-absorbency capacity of technical provisions) for counterparty default risk. </w:t>
            </w:r>
          </w:p>
          <w:p w14:paraId="35C3DAA4" w14:textId="02AE21F2" w:rsidR="000C18F7" w:rsidRPr="00B13D24" w:rsidRDefault="000C18F7" w:rsidP="00F30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0C18F7" w:rsidRPr="00B13D24" w14:paraId="210C91F0" w14:textId="77777777" w:rsidTr="00B13D24">
        <w:trPr>
          <w:trHeight w:val="761"/>
        </w:trPr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C645B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R0400/</w:t>
            </w:r>
          </w:p>
          <w:p w14:paraId="26DB7C3F" w14:textId="77777777" w:rsidR="00532257" w:rsidRPr="00B13D24" w:rsidRDefault="000C18F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C0080</w:t>
            </w:r>
          </w:p>
          <w:p w14:paraId="51BEFC22" w14:textId="4D3A32D6" w:rsidR="00532257" w:rsidRPr="00B13D24" w:rsidRDefault="0053225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(C4)</w:t>
            </w:r>
          </w:p>
          <w:p w14:paraId="1992D77E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1CDD9" w14:textId="1080F7A8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Total gross solvency capital requirement for counterparty default risk</w:t>
            </w:r>
          </w:p>
        </w:tc>
        <w:tc>
          <w:tcPr>
            <w:tcW w:w="4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BD0D30" w14:textId="0DB98524" w:rsidR="00532257" w:rsidRPr="00B13D24" w:rsidRDefault="000C18F7" w:rsidP="008A2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total amount of the gross capital charge (before the loss-absorbency capacity of technical provisions) for counterparty default risk. </w:t>
            </w:r>
          </w:p>
          <w:p w14:paraId="1022C5D7" w14:textId="7FFB3D99" w:rsidR="000C18F7" w:rsidRPr="00B13D24" w:rsidRDefault="000C18F7" w:rsidP="00F30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</w:tbl>
    <w:p w14:paraId="1A140711" w14:textId="77777777" w:rsidR="00641969" w:rsidRPr="00B13D24" w:rsidRDefault="00641969">
      <w:pPr>
        <w:rPr>
          <w:rFonts w:ascii="Times New Roman" w:hAnsi="Times New Roman" w:cs="Times New Roman"/>
          <w:sz w:val="20"/>
          <w:szCs w:val="20"/>
          <w:lang w:val="en-GB"/>
        </w:rPr>
      </w:pPr>
    </w:p>
    <w:sectPr w:rsidR="00641969" w:rsidRPr="00B13D2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432C53C" w15:done="0"/>
  <w15:commentEx w15:paraId="7AC5438B" w15:done="0"/>
  <w15:commentEx w15:paraId="7CBD26E6" w15:paraIdParent="7AC5438B" w15:done="0"/>
  <w15:commentEx w15:paraId="7F8A4C0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B9A57E" w14:textId="77777777" w:rsidR="00A706C5" w:rsidRDefault="00A706C5" w:rsidP="0041765A">
      <w:pPr>
        <w:spacing w:after="0" w:line="240" w:lineRule="auto"/>
      </w:pPr>
      <w:r>
        <w:separator/>
      </w:r>
    </w:p>
  </w:endnote>
  <w:endnote w:type="continuationSeparator" w:id="0">
    <w:p w14:paraId="378FE047" w14:textId="77777777" w:rsidR="00A706C5" w:rsidRDefault="00A706C5" w:rsidP="00417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849E9C" w14:textId="77777777" w:rsidR="00A706C5" w:rsidRDefault="00A706C5" w:rsidP="0041765A">
      <w:pPr>
        <w:spacing w:after="0" w:line="240" w:lineRule="auto"/>
      </w:pPr>
      <w:r>
        <w:separator/>
      </w:r>
    </w:p>
  </w:footnote>
  <w:footnote w:type="continuationSeparator" w:id="0">
    <w:p w14:paraId="492F4AC8" w14:textId="77777777" w:rsidR="00A706C5" w:rsidRDefault="00A706C5" w:rsidP="0041765A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guel Caballero Perez">
    <w15:presenceInfo w15:providerId="AD" w15:userId="S-1-5-21-1777303039-597252131-130898220-106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0DA"/>
    <w:rsid w:val="00053113"/>
    <w:rsid w:val="00085291"/>
    <w:rsid w:val="000C18F7"/>
    <w:rsid w:val="0024367E"/>
    <w:rsid w:val="0039634C"/>
    <w:rsid w:val="003F0618"/>
    <w:rsid w:val="0040427E"/>
    <w:rsid w:val="0041765A"/>
    <w:rsid w:val="00417D5F"/>
    <w:rsid w:val="004506FE"/>
    <w:rsid w:val="004C5C96"/>
    <w:rsid w:val="004D0B26"/>
    <w:rsid w:val="00532257"/>
    <w:rsid w:val="00541E52"/>
    <w:rsid w:val="005C0AC8"/>
    <w:rsid w:val="00641969"/>
    <w:rsid w:val="007060B1"/>
    <w:rsid w:val="007432B3"/>
    <w:rsid w:val="007A2D7E"/>
    <w:rsid w:val="007B5B5E"/>
    <w:rsid w:val="007C1F3E"/>
    <w:rsid w:val="008A2A3D"/>
    <w:rsid w:val="008A40DA"/>
    <w:rsid w:val="008C3D3D"/>
    <w:rsid w:val="008F6A7C"/>
    <w:rsid w:val="00940628"/>
    <w:rsid w:val="0098766C"/>
    <w:rsid w:val="00991EED"/>
    <w:rsid w:val="009B1A81"/>
    <w:rsid w:val="009E6C7E"/>
    <w:rsid w:val="009F4C8D"/>
    <w:rsid w:val="00A45CFE"/>
    <w:rsid w:val="00A649D9"/>
    <w:rsid w:val="00A706C5"/>
    <w:rsid w:val="00AD7051"/>
    <w:rsid w:val="00B13D24"/>
    <w:rsid w:val="00B70AF9"/>
    <w:rsid w:val="00BC0BB4"/>
    <w:rsid w:val="00C7775F"/>
    <w:rsid w:val="00C9258E"/>
    <w:rsid w:val="00CE28BD"/>
    <w:rsid w:val="00D706EE"/>
    <w:rsid w:val="00D92160"/>
    <w:rsid w:val="00DC5350"/>
    <w:rsid w:val="00E77A43"/>
    <w:rsid w:val="00EB0DFE"/>
    <w:rsid w:val="00EB4CB1"/>
    <w:rsid w:val="00F3062A"/>
    <w:rsid w:val="00F543BD"/>
    <w:rsid w:val="00FE1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A6B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76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65A"/>
  </w:style>
  <w:style w:type="paragraph" w:styleId="Footer">
    <w:name w:val="footer"/>
    <w:basedOn w:val="Normal"/>
    <w:link w:val="FooterChar"/>
    <w:uiPriority w:val="99"/>
    <w:unhideWhenUsed/>
    <w:rsid w:val="004176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65A"/>
  </w:style>
  <w:style w:type="paragraph" w:styleId="BalloonText">
    <w:name w:val="Balloon Text"/>
    <w:basedOn w:val="Normal"/>
    <w:link w:val="BalloonTextChar"/>
    <w:uiPriority w:val="99"/>
    <w:semiHidden/>
    <w:unhideWhenUsed/>
    <w:rsid w:val="00404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27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406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6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6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6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62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3062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76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65A"/>
  </w:style>
  <w:style w:type="paragraph" w:styleId="Footer">
    <w:name w:val="footer"/>
    <w:basedOn w:val="Normal"/>
    <w:link w:val="FooterChar"/>
    <w:uiPriority w:val="99"/>
    <w:unhideWhenUsed/>
    <w:rsid w:val="004176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65A"/>
  </w:style>
  <w:style w:type="paragraph" w:styleId="BalloonText">
    <w:name w:val="Balloon Text"/>
    <w:basedOn w:val="Normal"/>
    <w:link w:val="BalloonTextChar"/>
    <w:uiPriority w:val="99"/>
    <w:semiHidden/>
    <w:unhideWhenUsed/>
    <w:rsid w:val="00404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27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406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6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6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6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62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306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4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715</Words>
  <Characters>4080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DGSFP</Company>
  <LinksUpToDate>false</LinksUpToDate>
  <CharactersWithSpaces>4786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Caballero Perez</dc:creator>
  <cp:lastModifiedBy>Ivana Sivric</cp:lastModifiedBy>
  <cp:revision>6</cp:revision>
  <dcterms:created xsi:type="dcterms:W3CDTF">2014-11-10T13:01:00Z</dcterms:created>
  <dcterms:modified xsi:type="dcterms:W3CDTF">2014-11-17T12:26:00Z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-1952923247</vt:i4>
  </property>
  <property fmtid="{D5CDD505-2E9C-101B-9397-08002B2CF9AE}" pid="4" name="_EmailSubject">
    <vt:lpwstr>S.26 review </vt:lpwstr>
  </property>
  <property fmtid="{D5CDD505-2E9C-101B-9397-08002B2CF9AE}" pid="5" name="_AuthorEmail">
    <vt:lpwstr>Elzbieta.Woynowska@bankofengland.gsi.gov.uk</vt:lpwstr>
  </property>
  <property fmtid="{D5CDD505-2E9C-101B-9397-08002B2CF9AE}" pid="6" name="_AuthorEmailDisplayName">
    <vt:lpwstr>Woynowska, Elzbieta</vt:lpwstr>
  </property>
  <property fmtid="{D5CDD505-2E9C-101B-9397-08002B2CF9AE}" pid="7" name="_ReviewingToolsShownOnce">
    <vt:lpwstr/>
  </property>
</Properties>
</file>